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064" w:rsidRPr="001D7064" w:rsidRDefault="001D7064" w:rsidP="001D7064">
      <w:pPr>
        <w:pBdr>
          <w:top w:val="single" w:sz="4" w:space="1" w:color="auto"/>
        </w:pBdr>
        <w:tabs>
          <w:tab w:val="left" w:pos="2316"/>
        </w:tabs>
        <w:rPr>
          <w:rFonts w:ascii="Arial" w:hAnsi="Arial" w:cs="Arial"/>
          <w:b/>
          <w:sz w:val="22"/>
          <w:szCs w:val="22"/>
        </w:rPr>
      </w:pPr>
      <w:bookmarkStart w:id="0" w:name="_GoBack"/>
      <w:bookmarkEnd w:id="0"/>
    </w:p>
    <w:p w:rsidR="001D7064" w:rsidRPr="001D7064" w:rsidRDefault="001D7064" w:rsidP="001D7064">
      <w:pPr>
        <w:numPr>
          <w:ilvl w:val="0"/>
          <w:numId w:val="1"/>
        </w:numPr>
        <w:tabs>
          <w:tab w:val="clear" w:pos="720"/>
          <w:tab w:val="left" w:pos="567"/>
        </w:tabs>
        <w:ind w:left="567" w:hanging="567"/>
        <w:jc w:val="both"/>
        <w:rPr>
          <w:rFonts w:ascii="Arial" w:hAnsi="Arial" w:cs="Arial"/>
          <w:bCs/>
          <w:sz w:val="22"/>
          <w:szCs w:val="22"/>
        </w:rPr>
      </w:pPr>
      <w:r w:rsidRPr="001D7064">
        <w:rPr>
          <w:rFonts w:ascii="Arial" w:hAnsi="Arial" w:cs="Arial"/>
          <w:bCs/>
          <w:sz w:val="22"/>
          <w:szCs w:val="22"/>
        </w:rPr>
        <w:t>Key legislation governing railway construction and operation in Queensland was largely enacted in the era of government owned corporation (GOC) railway operations, with the state owning both land and rail infrastructure and Queensland Transport regulating Queensland Rail’s (QR’s) operations.  A feature which underpins this regulatory environment is that railways were designed, built and operated for multiple users.</w:t>
      </w:r>
    </w:p>
    <w:p w:rsidR="001D7064" w:rsidRPr="001D7064" w:rsidRDefault="001D7064" w:rsidP="001D7064">
      <w:pPr>
        <w:jc w:val="both"/>
        <w:rPr>
          <w:rFonts w:ascii="Arial" w:hAnsi="Arial" w:cs="Arial"/>
          <w:bCs/>
          <w:sz w:val="22"/>
          <w:szCs w:val="22"/>
        </w:rPr>
      </w:pPr>
    </w:p>
    <w:p w:rsidR="001D7064" w:rsidRPr="001D7064" w:rsidRDefault="001D7064" w:rsidP="001D7064">
      <w:pPr>
        <w:numPr>
          <w:ilvl w:val="0"/>
          <w:numId w:val="1"/>
        </w:numPr>
        <w:tabs>
          <w:tab w:val="clear" w:pos="720"/>
          <w:tab w:val="left" w:pos="567"/>
        </w:tabs>
        <w:ind w:left="567" w:hanging="567"/>
        <w:jc w:val="both"/>
        <w:rPr>
          <w:rFonts w:ascii="Arial" w:hAnsi="Arial" w:cs="Arial"/>
          <w:bCs/>
          <w:sz w:val="22"/>
          <w:szCs w:val="22"/>
        </w:rPr>
      </w:pPr>
      <w:r w:rsidRPr="001D7064">
        <w:rPr>
          <w:rFonts w:ascii="Arial" w:hAnsi="Arial" w:cs="Arial"/>
          <w:bCs/>
          <w:sz w:val="22"/>
          <w:szCs w:val="22"/>
        </w:rPr>
        <w:t>However, with the increasing trend towards private railway developments, there is the need to consider whether current policies and procedures are adequate.  The development</w:t>
      </w:r>
      <w:r w:rsidR="004F1231">
        <w:rPr>
          <w:rFonts w:ascii="Arial" w:hAnsi="Arial" w:cs="Arial"/>
          <w:bCs/>
          <w:sz w:val="22"/>
          <w:szCs w:val="22"/>
        </w:rPr>
        <w:t>s</w:t>
      </w:r>
      <w:r w:rsidRPr="001D7064">
        <w:rPr>
          <w:rFonts w:ascii="Arial" w:hAnsi="Arial" w:cs="Arial"/>
          <w:bCs/>
          <w:sz w:val="22"/>
          <w:szCs w:val="22"/>
        </w:rPr>
        <w:t xml:space="preserve"> of the AirTrain, Bauhinia Regional, Surat Basin Rail and Hancock railways demonstrate that a range of policy and procedural approaches exist to coordinate private railway developments in Queensland.  Currently, private railways are being facilitated on a case-by-case basis, with state agencies developing policy and project-specific legislation as required.</w:t>
      </w:r>
    </w:p>
    <w:p w:rsidR="001D7064" w:rsidRPr="001D7064" w:rsidRDefault="001D7064" w:rsidP="001D7064">
      <w:pPr>
        <w:jc w:val="both"/>
        <w:rPr>
          <w:rFonts w:ascii="Arial" w:hAnsi="Arial" w:cs="Arial"/>
          <w:bCs/>
          <w:sz w:val="22"/>
          <w:szCs w:val="22"/>
        </w:rPr>
      </w:pPr>
    </w:p>
    <w:p w:rsidR="001D7064" w:rsidRPr="001D7064" w:rsidRDefault="001D7064" w:rsidP="001D7064">
      <w:pPr>
        <w:numPr>
          <w:ilvl w:val="0"/>
          <w:numId w:val="1"/>
        </w:numPr>
        <w:tabs>
          <w:tab w:val="clear" w:pos="720"/>
          <w:tab w:val="left" w:pos="567"/>
        </w:tabs>
        <w:ind w:left="567" w:hanging="567"/>
        <w:jc w:val="both"/>
        <w:rPr>
          <w:rFonts w:ascii="Arial" w:hAnsi="Arial" w:cs="Arial"/>
          <w:bCs/>
          <w:sz w:val="22"/>
          <w:szCs w:val="22"/>
        </w:rPr>
      </w:pPr>
      <w:r w:rsidRPr="001D7064">
        <w:rPr>
          <w:rFonts w:ascii="Arial" w:hAnsi="Arial" w:cs="Arial"/>
          <w:bCs/>
          <w:sz w:val="22"/>
          <w:szCs w:val="22"/>
        </w:rPr>
        <w:t xml:space="preserve">Given the number of new projects being proposed, and in order to maximise their employment and economic benefits and minimise </w:t>
      </w:r>
      <w:r w:rsidR="004F1231">
        <w:rPr>
          <w:rFonts w:ascii="Arial" w:hAnsi="Arial" w:cs="Arial"/>
          <w:bCs/>
          <w:sz w:val="22"/>
          <w:szCs w:val="22"/>
        </w:rPr>
        <w:t xml:space="preserve">their </w:t>
      </w:r>
      <w:r w:rsidRPr="001D7064">
        <w:rPr>
          <w:rFonts w:ascii="Arial" w:hAnsi="Arial" w:cs="Arial"/>
          <w:bCs/>
          <w:sz w:val="22"/>
          <w:szCs w:val="22"/>
        </w:rPr>
        <w:t xml:space="preserve">environmental and social impacts, it is important that a consistent and comprehensive approach be adopted to cater for </w:t>
      </w:r>
      <w:r w:rsidR="00D83706">
        <w:rPr>
          <w:rFonts w:ascii="Arial" w:hAnsi="Arial" w:cs="Arial"/>
          <w:bCs/>
          <w:sz w:val="22"/>
          <w:szCs w:val="22"/>
        </w:rPr>
        <w:t>all</w:t>
      </w:r>
      <w:r w:rsidRPr="001D7064">
        <w:rPr>
          <w:rFonts w:ascii="Arial" w:hAnsi="Arial" w:cs="Arial"/>
          <w:bCs/>
          <w:sz w:val="22"/>
          <w:szCs w:val="22"/>
        </w:rPr>
        <w:t xml:space="preserve"> private railway development</w:t>
      </w:r>
      <w:r w:rsidR="004F1231">
        <w:rPr>
          <w:rFonts w:ascii="Arial" w:hAnsi="Arial" w:cs="Arial"/>
          <w:bCs/>
          <w:sz w:val="22"/>
          <w:szCs w:val="22"/>
        </w:rPr>
        <w:t>s</w:t>
      </w:r>
      <w:r w:rsidRPr="001D7064">
        <w:rPr>
          <w:rFonts w:ascii="Arial" w:hAnsi="Arial" w:cs="Arial"/>
          <w:bCs/>
          <w:sz w:val="22"/>
          <w:szCs w:val="22"/>
        </w:rPr>
        <w:t xml:space="preserve">.  A coherent policy will assist state agencies and private proponents to anticipate project-related challenges before they emerge.  </w:t>
      </w:r>
    </w:p>
    <w:p w:rsidR="001D7064" w:rsidRPr="001D7064" w:rsidRDefault="001D7064" w:rsidP="001D7064">
      <w:pPr>
        <w:jc w:val="both"/>
        <w:rPr>
          <w:rFonts w:ascii="Arial" w:hAnsi="Arial" w:cs="Arial"/>
          <w:bCs/>
          <w:sz w:val="22"/>
          <w:szCs w:val="22"/>
        </w:rPr>
      </w:pPr>
    </w:p>
    <w:p w:rsidR="001D7064" w:rsidRPr="001D7064" w:rsidRDefault="001D7064" w:rsidP="001D7064">
      <w:pPr>
        <w:numPr>
          <w:ilvl w:val="0"/>
          <w:numId w:val="1"/>
        </w:numPr>
        <w:tabs>
          <w:tab w:val="clear" w:pos="720"/>
          <w:tab w:val="left" w:pos="567"/>
        </w:tabs>
        <w:ind w:left="567" w:hanging="567"/>
        <w:jc w:val="both"/>
        <w:rPr>
          <w:rFonts w:ascii="Arial" w:hAnsi="Arial" w:cs="Arial"/>
          <w:bCs/>
          <w:sz w:val="22"/>
          <w:szCs w:val="22"/>
        </w:rPr>
      </w:pPr>
      <w:r w:rsidRPr="00C13A4D">
        <w:rPr>
          <w:rFonts w:ascii="Arial" w:hAnsi="Arial" w:cs="Arial"/>
          <w:bCs/>
          <w:sz w:val="22"/>
          <w:szCs w:val="22"/>
          <w:u w:val="single"/>
        </w:rPr>
        <w:t>Cabinet endorsed</w:t>
      </w:r>
      <w:r w:rsidRPr="001D7064">
        <w:rPr>
          <w:rFonts w:ascii="Arial" w:hAnsi="Arial" w:cs="Arial"/>
          <w:bCs/>
          <w:sz w:val="22"/>
          <w:szCs w:val="22"/>
        </w:rPr>
        <w:t xml:space="preserve"> that </w:t>
      </w:r>
      <w:r w:rsidR="008F4C0B">
        <w:rPr>
          <w:rFonts w:ascii="Arial" w:hAnsi="Arial" w:cs="Arial"/>
          <w:bCs/>
          <w:sz w:val="22"/>
          <w:szCs w:val="22"/>
        </w:rPr>
        <w:t xml:space="preserve">the </w:t>
      </w:r>
      <w:r w:rsidRPr="001D7064">
        <w:rPr>
          <w:rFonts w:ascii="Arial" w:hAnsi="Arial" w:cs="Arial"/>
          <w:bCs/>
          <w:sz w:val="22"/>
          <w:szCs w:val="22"/>
        </w:rPr>
        <w:t>Queensland Government</w:t>
      </w:r>
      <w:r w:rsidR="008F4C0B">
        <w:rPr>
          <w:rFonts w:ascii="Arial" w:hAnsi="Arial" w:cs="Arial"/>
          <w:bCs/>
          <w:sz w:val="22"/>
          <w:szCs w:val="22"/>
        </w:rPr>
        <w:t>’s</w:t>
      </w:r>
      <w:r w:rsidRPr="001D7064">
        <w:rPr>
          <w:rFonts w:ascii="Arial" w:hAnsi="Arial" w:cs="Arial"/>
          <w:bCs/>
          <w:sz w:val="22"/>
          <w:szCs w:val="22"/>
        </w:rPr>
        <w:t xml:space="preserve"> facilitation of private sector railway proposals ensure that future railways should be developed:</w:t>
      </w:r>
    </w:p>
    <w:p w:rsidR="001D7064" w:rsidRPr="001D7064" w:rsidRDefault="001D7064" w:rsidP="001D7064">
      <w:pPr>
        <w:widowControl w:val="0"/>
        <w:numPr>
          <w:ilvl w:val="0"/>
          <w:numId w:val="2"/>
        </w:numPr>
        <w:tabs>
          <w:tab w:val="clear" w:pos="1374"/>
          <w:tab w:val="left" w:pos="1134"/>
        </w:tabs>
        <w:ind w:left="1134" w:hanging="567"/>
        <w:jc w:val="both"/>
        <w:rPr>
          <w:rFonts w:ascii="Arial" w:hAnsi="Arial" w:cs="Arial"/>
          <w:bCs/>
          <w:sz w:val="22"/>
          <w:szCs w:val="22"/>
        </w:rPr>
      </w:pPr>
      <w:r w:rsidRPr="001D7064">
        <w:rPr>
          <w:rFonts w:ascii="Arial" w:hAnsi="Arial" w:cs="Arial"/>
          <w:bCs/>
          <w:sz w:val="22"/>
          <w:szCs w:val="22"/>
        </w:rPr>
        <w:t>preferably on an open access basis and rely on existing state and Commonwealth legislation to apply access where appropriate;</w:t>
      </w:r>
    </w:p>
    <w:p w:rsidR="001D7064" w:rsidRPr="001D7064" w:rsidRDefault="001D7064" w:rsidP="001D7064">
      <w:pPr>
        <w:widowControl w:val="0"/>
        <w:numPr>
          <w:ilvl w:val="0"/>
          <w:numId w:val="2"/>
        </w:numPr>
        <w:tabs>
          <w:tab w:val="clear" w:pos="1374"/>
          <w:tab w:val="left" w:pos="1134"/>
        </w:tabs>
        <w:ind w:left="1134" w:hanging="567"/>
        <w:jc w:val="both"/>
        <w:rPr>
          <w:rFonts w:ascii="Arial" w:hAnsi="Arial" w:cs="Arial"/>
          <w:bCs/>
          <w:sz w:val="22"/>
          <w:szCs w:val="22"/>
        </w:rPr>
      </w:pPr>
      <w:r w:rsidRPr="001D7064">
        <w:rPr>
          <w:rFonts w:ascii="Arial" w:hAnsi="Arial" w:cs="Arial"/>
          <w:bCs/>
          <w:sz w:val="22"/>
          <w:szCs w:val="22"/>
        </w:rPr>
        <w:t xml:space="preserve">where economics and the environmental impact statement conditioning will determine the scope and configuration of </w:t>
      </w:r>
      <w:smartTag w:uri="urn:schemas-microsoft-com:office:smarttags" w:element="City">
        <w:smartTag w:uri="urn:schemas-microsoft-com:office:smarttags" w:element="place">
          <w:r w:rsidRPr="001D7064">
            <w:rPr>
              <w:rFonts w:ascii="Arial" w:hAnsi="Arial" w:cs="Arial"/>
              <w:bCs/>
              <w:sz w:val="22"/>
              <w:szCs w:val="22"/>
            </w:rPr>
            <w:t>greenfield</w:t>
          </w:r>
        </w:smartTag>
      </w:smartTag>
      <w:r w:rsidRPr="001D7064">
        <w:rPr>
          <w:rFonts w:ascii="Arial" w:hAnsi="Arial" w:cs="Arial"/>
          <w:bCs/>
          <w:sz w:val="22"/>
          <w:szCs w:val="22"/>
        </w:rPr>
        <w:t xml:space="preserve"> corridors;</w:t>
      </w:r>
    </w:p>
    <w:p w:rsidR="001D7064" w:rsidRPr="001D7064" w:rsidRDefault="001D7064" w:rsidP="001D7064">
      <w:pPr>
        <w:widowControl w:val="0"/>
        <w:numPr>
          <w:ilvl w:val="0"/>
          <w:numId w:val="2"/>
        </w:numPr>
        <w:tabs>
          <w:tab w:val="clear" w:pos="1374"/>
          <w:tab w:val="left" w:pos="1134"/>
        </w:tabs>
        <w:ind w:left="1134" w:hanging="567"/>
        <w:jc w:val="both"/>
        <w:rPr>
          <w:rFonts w:ascii="Arial" w:hAnsi="Arial" w:cs="Arial"/>
          <w:bCs/>
          <w:sz w:val="22"/>
          <w:szCs w:val="22"/>
        </w:rPr>
      </w:pPr>
      <w:r w:rsidRPr="001D7064">
        <w:rPr>
          <w:rFonts w:ascii="Arial" w:hAnsi="Arial" w:cs="Arial"/>
          <w:bCs/>
          <w:sz w:val="22"/>
          <w:szCs w:val="22"/>
        </w:rPr>
        <w:t>with brownfield expansions preferably aligning with existing infrastructure corridors in order to minimise land use and resource conflicts;</w:t>
      </w:r>
    </w:p>
    <w:p w:rsidR="001D7064" w:rsidRPr="001D7064" w:rsidRDefault="001D7064" w:rsidP="001D7064">
      <w:pPr>
        <w:widowControl w:val="0"/>
        <w:numPr>
          <w:ilvl w:val="0"/>
          <w:numId w:val="2"/>
        </w:numPr>
        <w:tabs>
          <w:tab w:val="clear" w:pos="1374"/>
          <w:tab w:val="left" w:pos="1134"/>
        </w:tabs>
        <w:ind w:left="1134" w:hanging="567"/>
        <w:jc w:val="both"/>
        <w:rPr>
          <w:rFonts w:ascii="Arial" w:hAnsi="Arial" w:cs="Arial"/>
          <w:bCs/>
          <w:sz w:val="22"/>
          <w:szCs w:val="22"/>
        </w:rPr>
      </w:pPr>
      <w:r w:rsidRPr="001D7064">
        <w:rPr>
          <w:rFonts w:ascii="Arial" w:hAnsi="Arial" w:cs="Arial"/>
          <w:bCs/>
          <w:sz w:val="22"/>
          <w:szCs w:val="22"/>
        </w:rPr>
        <w:t>with the Coordinator-General facilitating significant private railways, lacking a direct public purpose and involving complex land acquisition issues, up to practical completion of railway construction;</w:t>
      </w:r>
    </w:p>
    <w:p w:rsidR="001D7064" w:rsidRPr="001D7064" w:rsidRDefault="001D7064" w:rsidP="001D7064">
      <w:pPr>
        <w:widowControl w:val="0"/>
        <w:numPr>
          <w:ilvl w:val="0"/>
          <w:numId w:val="2"/>
        </w:numPr>
        <w:tabs>
          <w:tab w:val="clear" w:pos="1374"/>
          <w:tab w:val="left" w:pos="1134"/>
        </w:tabs>
        <w:ind w:left="1134" w:hanging="567"/>
        <w:jc w:val="both"/>
        <w:rPr>
          <w:rFonts w:ascii="Arial" w:hAnsi="Arial" w:cs="Arial"/>
          <w:bCs/>
          <w:sz w:val="22"/>
          <w:szCs w:val="22"/>
        </w:rPr>
      </w:pPr>
      <w:r w:rsidRPr="001D7064">
        <w:rPr>
          <w:rFonts w:ascii="Arial" w:hAnsi="Arial" w:cs="Arial"/>
          <w:bCs/>
          <w:sz w:val="22"/>
          <w:szCs w:val="22"/>
        </w:rPr>
        <w:t>with the Department of Transport and Main Roads (DTMR) negotiating and offering long-term leases in accordance with existing head lease/sublease arrangements;</w:t>
      </w:r>
    </w:p>
    <w:p w:rsidR="001D7064" w:rsidRPr="001D7064" w:rsidRDefault="001D7064" w:rsidP="001D7064">
      <w:pPr>
        <w:widowControl w:val="0"/>
        <w:numPr>
          <w:ilvl w:val="0"/>
          <w:numId w:val="2"/>
        </w:numPr>
        <w:tabs>
          <w:tab w:val="clear" w:pos="1374"/>
          <w:tab w:val="left" w:pos="1134"/>
        </w:tabs>
        <w:ind w:left="1134" w:hanging="567"/>
        <w:jc w:val="both"/>
        <w:rPr>
          <w:rFonts w:ascii="Arial" w:hAnsi="Arial" w:cs="Arial"/>
          <w:bCs/>
          <w:sz w:val="22"/>
          <w:szCs w:val="22"/>
        </w:rPr>
      </w:pPr>
      <w:r w:rsidRPr="001D7064">
        <w:rPr>
          <w:rFonts w:ascii="Arial" w:hAnsi="Arial" w:cs="Arial"/>
          <w:bCs/>
          <w:sz w:val="22"/>
          <w:szCs w:val="22"/>
        </w:rPr>
        <w:t>with DTMR facilitating railway proposals with a clear public purpose and to take responsibility for operational oversight of all private railways, and</w:t>
      </w:r>
    </w:p>
    <w:p w:rsidR="001D7064" w:rsidRPr="001D7064" w:rsidRDefault="001D7064" w:rsidP="001D7064">
      <w:pPr>
        <w:widowControl w:val="0"/>
        <w:numPr>
          <w:ilvl w:val="0"/>
          <w:numId w:val="2"/>
        </w:numPr>
        <w:tabs>
          <w:tab w:val="clear" w:pos="1374"/>
          <w:tab w:val="left" w:pos="1134"/>
        </w:tabs>
        <w:ind w:left="1134" w:hanging="567"/>
        <w:jc w:val="both"/>
        <w:rPr>
          <w:rFonts w:ascii="Arial" w:hAnsi="Arial" w:cs="Arial"/>
          <w:bCs/>
          <w:sz w:val="22"/>
          <w:szCs w:val="22"/>
        </w:rPr>
      </w:pPr>
      <w:r w:rsidRPr="001D7064">
        <w:rPr>
          <w:rFonts w:ascii="Arial" w:hAnsi="Arial" w:cs="Arial"/>
          <w:bCs/>
          <w:sz w:val="22"/>
          <w:szCs w:val="22"/>
        </w:rPr>
        <w:t>in accordance with an agreement framework to ensure government objectives are achieved, especially the minimisation of cost and risk to the state.</w:t>
      </w:r>
    </w:p>
    <w:p w:rsidR="001D7064" w:rsidRPr="001D7064" w:rsidRDefault="001D7064" w:rsidP="001D7064">
      <w:pPr>
        <w:jc w:val="both"/>
        <w:rPr>
          <w:rFonts w:ascii="Arial" w:hAnsi="Arial" w:cs="Arial"/>
          <w:bCs/>
          <w:sz w:val="22"/>
          <w:szCs w:val="22"/>
        </w:rPr>
      </w:pPr>
    </w:p>
    <w:p w:rsidR="001D7064" w:rsidRPr="001D7064" w:rsidRDefault="001D7064" w:rsidP="001D7064">
      <w:pPr>
        <w:numPr>
          <w:ilvl w:val="0"/>
          <w:numId w:val="1"/>
        </w:numPr>
        <w:tabs>
          <w:tab w:val="clear" w:pos="720"/>
          <w:tab w:val="left" w:pos="567"/>
        </w:tabs>
        <w:ind w:left="567" w:hanging="567"/>
        <w:jc w:val="both"/>
        <w:rPr>
          <w:rFonts w:ascii="Arial" w:hAnsi="Arial" w:cs="Arial"/>
          <w:kern w:val="20"/>
          <w:sz w:val="22"/>
          <w:szCs w:val="22"/>
        </w:rPr>
      </w:pPr>
      <w:r w:rsidRPr="001D7064">
        <w:rPr>
          <w:rFonts w:ascii="Arial" w:hAnsi="Arial" w:cs="Arial"/>
          <w:i/>
          <w:sz w:val="22"/>
          <w:szCs w:val="22"/>
          <w:u w:val="single"/>
        </w:rPr>
        <w:t>Attachments</w:t>
      </w:r>
      <w:r w:rsidRPr="001D7064">
        <w:rPr>
          <w:rFonts w:ascii="Arial" w:hAnsi="Arial" w:cs="Arial"/>
          <w:sz w:val="22"/>
          <w:szCs w:val="22"/>
          <w:u w:val="single"/>
        </w:rPr>
        <w:t xml:space="preserve"> </w:t>
      </w:r>
    </w:p>
    <w:p w:rsidR="001D7064" w:rsidRPr="00803B08" w:rsidRDefault="001D7064" w:rsidP="00803B08">
      <w:pPr>
        <w:numPr>
          <w:ilvl w:val="0"/>
          <w:numId w:val="3"/>
        </w:numPr>
        <w:tabs>
          <w:tab w:val="clear" w:pos="454"/>
          <w:tab w:val="left" w:pos="1134"/>
        </w:tabs>
        <w:spacing w:before="120"/>
        <w:ind w:left="1134" w:hanging="567"/>
        <w:jc w:val="both"/>
        <w:rPr>
          <w:rFonts w:ascii="Arial" w:hAnsi="Arial" w:cs="Arial"/>
          <w:sz w:val="22"/>
          <w:szCs w:val="22"/>
        </w:rPr>
      </w:pPr>
      <w:r w:rsidRPr="00803B08">
        <w:rPr>
          <w:rFonts w:ascii="Arial" w:hAnsi="Arial" w:cs="Arial"/>
          <w:kern w:val="20"/>
          <w:sz w:val="22"/>
          <w:szCs w:val="22"/>
        </w:rPr>
        <w:t>Nil</w:t>
      </w:r>
      <w:r w:rsidR="00BB5174" w:rsidRPr="00803B08">
        <w:rPr>
          <w:rFonts w:ascii="Arial" w:hAnsi="Arial" w:cs="Arial"/>
          <w:kern w:val="20"/>
          <w:sz w:val="22"/>
          <w:szCs w:val="22"/>
        </w:rPr>
        <w:t>.</w:t>
      </w:r>
      <w:r w:rsidR="00803B08" w:rsidRPr="00803B08">
        <w:rPr>
          <w:rFonts w:ascii="Arial" w:hAnsi="Arial" w:cs="Arial"/>
          <w:kern w:val="20"/>
          <w:sz w:val="22"/>
          <w:szCs w:val="22"/>
        </w:rPr>
        <w:tab/>
      </w:r>
    </w:p>
    <w:sectPr w:rsidR="001D7064" w:rsidRPr="00803B08" w:rsidSect="002358C7">
      <w:headerReference w:type="default" r:id="rId7"/>
      <w:pgSz w:w="11906" w:h="16838" w:code="9"/>
      <w:pgMar w:top="1985" w:right="1418" w:bottom="1191" w:left="1418" w:header="851"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045" w:rsidRDefault="005C6045">
      <w:r>
        <w:separator/>
      </w:r>
    </w:p>
  </w:endnote>
  <w:endnote w:type="continuationSeparator" w:id="0">
    <w:p w:rsidR="005C6045" w:rsidRDefault="005C6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045" w:rsidRDefault="005C6045">
      <w:r>
        <w:separator/>
      </w:r>
    </w:p>
  </w:footnote>
  <w:footnote w:type="continuationSeparator" w:id="0">
    <w:p w:rsidR="005C6045" w:rsidRDefault="005C60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8C7" w:rsidRPr="00C93647" w:rsidRDefault="00BF1C21" w:rsidP="00917C45">
    <w:pPr>
      <w:pStyle w:val="Header"/>
      <w:ind w:firstLine="2880"/>
      <w:rPr>
        <w:rFonts w:ascii="Arial" w:hAnsi="Arial" w:cs="Arial"/>
        <w:b/>
        <w:sz w:val="22"/>
        <w:szCs w:val="22"/>
        <w:u w:val="single"/>
      </w:rPr>
    </w:pPr>
    <w:r>
      <w:rPr>
        <w:rFonts w:ascii="Arial" w:hAnsi="Arial" w:cs="Arial"/>
        <w:noProof/>
        <w:sz w:val="22"/>
        <w:szCs w:val="22"/>
      </w:rPr>
      <w:drawing>
        <wp:anchor distT="0" distB="0" distL="114300" distR="114300" simplePos="0" relativeHeight="251657728"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2358C7" w:rsidRPr="00C93647">
      <w:rPr>
        <w:rFonts w:ascii="Arial" w:hAnsi="Arial" w:cs="Arial"/>
        <w:b/>
        <w:sz w:val="22"/>
        <w:szCs w:val="22"/>
        <w:u w:val="single"/>
      </w:rPr>
      <w:t>Cabinet – August 2011</w:t>
    </w:r>
  </w:p>
  <w:p w:rsidR="002358C7" w:rsidRPr="00C93647" w:rsidRDefault="002358C7" w:rsidP="00917C45">
    <w:pPr>
      <w:pStyle w:val="Header"/>
      <w:rPr>
        <w:rFonts w:ascii="Arial" w:hAnsi="Arial" w:cs="Arial"/>
        <w:b/>
        <w:sz w:val="22"/>
        <w:szCs w:val="22"/>
        <w:u w:val="single"/>
      </w:rPr>
    </w:pPr>
  </w:p>
  <w:p w:rsidR="002358C7" w:rsidRPr="00C93647" w:rsidRDefault="002358C7" w:rsidP="00917C45">
    <w:pPr>
      <w:pStyle w:val="Header"/>
      <w:rPr>
        <w:rFonts w:ascii="Arial" w:hAnsi="Arial" w:cs="Arial"/>
        <w:b/>
        <w:sz w:val="22"/>
        <w:szCs w:val="22"/>
        <w:u w:val="single"/>
      </w:rPr>
    </w:pPr>
    <w:r w:rsidRPr="00C93647">
      <w:rPr>
        <w:rFonts w:ascii="Arial" w:hAnsi="Arial" w:cs="Arial"/>
        <w:b/>
        <w:sz w:val="22"/>
        <w:szCs w:val="22"/>
        <w:u w:val="single"/>
      </w:rPr>
      <w:t>Facilitation of Private Railway Infrastructure</w:t>
    </w:r>
  </w:p>
  <w:p w:rsidR="002358C7" w:rsidRPr="00C93647" w:rsidRDefault="002358C7" w:rsidP="00917C45">
    <w:pPr>
      <w:pStyle w:val="Header"/>
      <w:rPr>
        <w:rFonts w:ascii="Arial" w:hAnsi="Arial" w:cs="Arial"/>
        <w:b/>
        <w:sz w:val="22"/>
        <w:szCs w:val="22"/>
        <w:u w:val="single"/>
      </w:rPr>
    </w:pPr>
  </w:p>
  <w:p w:rsidR="002358C7" w:rsidRPr="00C93647" w:rsidRDefault="002358C7" w:rsidP="00917C45">
    <w:pPr>
      <w:pStyle w:val="Header"/>
      <w:rPr>
        <w:rFonts w:ascii="Arial" w:hAnsi="Arial" w:cs="Arial"/>
        <w:b/>
        <w:sz w:val="22"/>
        <w:szCs w:val="22"/>
        <w:u w:val="single"/>
      </w:rPr>
    </w:pPr>
    <w:r w:rsidRPr="00C93647">
      <w:rPr>
        <w:rFonts w:ascii="Arial" w:hAnsi="Arial" w:cs="Arial"/>
        <w:b/>
        <w:sz w:val="22"/>
        <w:szCs w:val="22"/>
        <w:u w:val="single"/>
      </w:rPr>
      <w:t>Treasurer and Minister for State Development and Trade</w:t>
    </w:r>
  </w:p>
  <w:p w:rsidR="002358C7" w:rsidRPr="00C93647" w:rsidRDefault="002358C7" w:rsidP="00917C45">
    <w:pPr>
      <w:pStyle w:val="Header"/>
      <w:rPr>
        <w:rFonts w:ascii="Arial" w:hAnsi="Arial" w:cs="Arial"/>
        <w:b/>
        <w:sz w:val="22"/>
        <w:szCs w:val="22"/>
        <w:u w:val="single"/>
      </w:rPr>
    </w:pPr>
    <w:r w:rsidRPr="00C93647">
      <w:rPr>
        <w:rFonts w:ascii="Arial" w:hAnsi="Arial" w:cs="Arial"/>
        <w:b/>
        <w:sz w:val="22"/>
        <w:szCs w:val="22"/>
        <w:u w:val="single"/>
      </w:rPr>
      <w:t>Minister for Transport and Multicultural Affairs</w:t>
    </w:r>
  </w:p>
  <w:p w:rsidR="002358C7" w:rsidRPr="00C93647" w:rsidRDefault="002358C7">
    <w:pPr>
      <w:pStyle w:val="Header"/>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2231B"/>
    <w:multiLevelType w:val="hybridMultilevel"/>
    <w:tmpl w:val="09986B94"/>
    <w:lvl w:ilvl="0" w:tplc="421A618A">
      <w:start w:val="1"/>
      <w:numFmt w:val="bullet"/>
      <w:lvlText w:val=""/>
      <w:lvlJc w:val="left"/>
      <w:pPr>
        <w:tabs>
          <w:tab w:val="num" w:pos="1374"/>
        </w:tabs>
        <w:ind w:left="1374" w:hanging="360"/>
      </w:pPr>
      <w:rPr>
        <w:rFonts w:ascii="Symbol" w:hAnsi="Symbol" w:hint="default"/>
        <w:color w:val="auto"/>
      </w:rPr>
    </w:lvl>
    <w:lvl w:ilvl="1" w:tplc="0C090003" w:tentative="1">
      <w:start w:val="1"/>
      <w:numFmt w:val="bullet"/>
      <w:lvlText w:val="o"/>
      <w:lvlJc w:val="left"/>
      <w:pPr>
        <w:tabs>
          <w:tab w:val="num" w:pos="2094"/>
        </w:tabs>
        <w:ind w:left="2094" w:hanging="360"/>
      </w:pPr>
      <w:rPr>
        <w:rFonts w:ascii="Courier New" w:hAnsi="Courier New" w:cs="Courier New" w:hint="default"/>
      </w:rPr>
    </w:lvl>
    <w:lvl w:ilvl="2" w:tplc="0C090005" w:tentative="1">
      <w:start w:val="1"/>
      <w:numFmt w:val="bullet"/>
      <w:lvlText w:val=""/>
      <w:lvlJc w:val="left"/>
      <w:pPr>
        <w:tabs>
          <w:tab w:val="num" w:pos="2814"/>
        </w:tabs>
        <w:ind w:left="2814" w:hanging="360"/>
      </w:pPr>
      <w:rPr>
        <w:rFonts w:ascii="Wingdings" w:hAnsi="Wingdings" w:hint="default"/>
      </w:rPr>
    </w:lvl>
    <w:lvl w:ilvl="3" w:tplc="0C090001" w:tentative="1">
      <w:start w:val="1"/>
      <w:numFmt w:val="bullet"/>
      <w:lvlText w:val=""/>
      <w:lvlJc w:val="left"/>
      <w:pPr>
        <w:tabs>
          <w:tab w:val="num" w:pos="3534"/>
        </w:tabs>
        <w:ind w:left="3534" w:hanging="360"/>
      </w:pPr>
      <w:rPr>
        <w:rFonts w:ascii="Symbol" w:hAnsi="Symbol" w:hint="default"/>
      </w:rPr>
    </w:lvl>
    <w:lvl w:ilvl="4" w:tplc="0C090003" w:tentative="1">
      <w:start w:val="1"/>
      <w:numFmt w:val="bullet"/>
      <w:lvlText w:val="o"/>
      <w:lvlJc w:val="left"/>
      <w:pPr>
        <w:tabs>
          <w:tab w:val="num" w:pos="4254"/>
        </w:tabs>
        <w:ind w:left="4254" w:hanging="360"/>
      </w:pPr>
      <w:rPr>
        <w:rFonts w:ascii="Courier New" w:hAnsi="Courier New" w:cs="Courier New" w:hint="default"/>
      </w:rPr>
    </w:lvl>
    <w:lvl w:ilvl="5" w:tplc="0C090005" w:tentative="1">
      <w:start w:val="1"/>
      <w:numFmt w:val="bullet"/>
      <w:lvlText w:val=""/>
      <w:lvlJc w:val="left"/>
      <w:pPr>
        <w:tabs>
          <w:tab w:val="num" w:pos="4974"/>
        </w:tabs>
        <w:ind w:left="4974" w:hanging="360"/>
      </w:pPr>
      <w:rPr>
        <w:rFonts w:ascii="Wingdings" w:hAnsi="Wingdings" w:hint="default"/>
      </w:rPr>
    </w:lvl>
    <w:lvl w:ilvl="6" w:tplc="0C090001" w:tentative="1">
      <w:start w:val="1"/>
      <w:numFmt w:val="bullet"/>
      <w:lvlText w:val=""/>
      <w:lvlJc w:val="left"/>
      <w:pPr>
        <w:tabs>
          <w:tab w:val="num" w:pos="5694"/>
        </w:tabs>
        <w:ind w:left="5694" w:hanging="360"/>
      </w:pPr>
      <w:rPr>
        <w:rFonts w:ascii="Symbol" w:hAnsi="Symbol" w:hint="default"/>
      </w:rPr>
    </w:lvl>
    <w:lvl w:ilvl="7" w:tplc="0C090003" w:tentative="1">
      <w:start w:val="1"/>
      <w:numFmt w:val="bullet"/>
      <w:lvlText w:val="o"/>
      <w:lvlJc w:val="left"/>
      <w:pPr>
        <w:tabs>
          <w:tab w:val="num" w:pos="6414"/>
        </w:tabs>
        <w:ind w:left="6414" w:hanging="360"/>
      </w:pPr>
      <w:rPr>
        <w:rFonts w:ascii="Courier New" w:hAnsi="Courier New" w:cs="Courier New" w:hint="default"/>
      </w:rPr>
    </w:lvl>
    <w:lvl w:ilvl="8" w:tplc="0C090005" w:tentative="1">
      <w:start w:val="1"/>
      <w:numFmt w:val="bullet"/>
      <w:lvlText w:val=""/>
      <w:lvlJc w:val="left"/>
      <w:pPr>
        <w:tabs>
          <w:tab w:val="num" w:pos="7134"/>
        </w:tabs>
        <w:ind w:left="7134" w:hanging="360"/>
      </w:pPr>
      <w:rPr>
        <w:rFonts w:ascii="Wingdings" w:hAnsi="Wingdings" w:hint="default"/>
      </w:rPr>
    </w:lvl>
  </w:abstractNum>
  <w:abstractNum w:abstractNumId="1" w15:restartNumberingAfterBreak="0">
    <w:nsid w:val="63F3400C"/>
    <w:multiLevelType w:val="hybridMultilevel"/>
    <w:tmpl w:val="ABDA59B0"/>
    <w:lvl w:ilvl="0" w:tplc="3B164716">
      <w:start w:val="1"/>
      <w:numFmt w:val="bullet"/>
      <w:lvlText w:val=""/>
      <w:lvlJc w:val="left"/>
      <w:pPr>
        <w:tabs>
          <w:tab w:val="num" w:pos="454"/>
        </w:tabs>
        <w:ind w:left="454" w:hanging="454"/>
      </w:pPr>
      <w:rPr>
        <w:rFonts w:ascii="Symbol" w:hAnsi="Symbol" w:hint="default"/>
        <w:b w:val="0"/>
        <w:i w:val="0"/>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064"/>
    <w:rsid w:val="00024D3C"/>
    <w:rsid w:val="00183FB6"/>
    <w:rsid w:val="001D7064"/>
    <w:rsid w:val="002358C7"/>
    <w:rsid w:val="002E549B"/>
    <w:rsid w:val="003622FE"/>
    <w:rsid w:val="00373463"/>
    <w:rsid w:val="004440AD"/>
    <w:rsid w:val="004F1231"/>
    <w:rsid w:val="005C6045"/>
    <w:rsid w:val="006C2D8E"/>
    <w:rsid w:val="007A1B52"/>
    <w:rsid w:val="007F5676"/>
    <w:rsid w:val="00803B08"/>
    <w:rsid w:val="008D6731"/>
    <w:rsid w:val="008F4C0B"/>
    <w:rsid w:val="00917C45"/>
    <w:rsid w:val="00A175A1"/>
    <w:rsid w:val="00AF5DB3"/>
    <w:rsid w:val="00B413C6"/>
    <w:rsid w:val="00B4665B"/>
    <w:rsid w:val="00BB5174"/>
    <w:rsid w:val="00BF1C21"/>
    <w:rsid w:val="00C13A4D"/>
    <w:rsid w:val="00C93647"/>
    <w:rsid w:val="00D83706"/>
    <w:rsid w:val="00DB2573"/>
    <w:rsid w:val="00EB06B4"/>
    <w:rsid w:val="00EB5FA3"/>
    <w:rsid w:val="00EE02D0"/>
    <w:rsid w:val="00FA3060"/>
    <w:rsid w:val="00FB57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06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D7064"/>
    <w:pPr>
      <w:tabs>
        <w:tab w:val="center" w:pos="4153"/>
        <w:tab w:val="right" w:pos="8306"/>
      </w:tabs>
    </w:pPr>
  </w:style>
  <w:style w:type="paragraph" w:styleId="Footer">
    <w:name w:val="footer"/>
    <w:basedOn w:val="Normal"/>
    <w:rsid w:val="001D7064"/>
    <w:pPr>
      <w:tabs>
        <w:tab w:val="center" w:pos="4153"/>
        <w:tab w:val="right" w:pos="8306"/>
      </w:tabs>
    </w:pPr>
  </w:style>
  <w:style w:type="paragraph" w:styleId="BalloonText">
    <w:name w:val="Balloon Text"/>
    <w:basedOn w:val="Normal"/>
    <w:semiHidden/>
    <w:rsid w:val="006C2D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2255</Characters>
  <Application>Microsoft Office Word</Application>
  <DocSecurity>0</DocSecurity>
  <Lines>41</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2617</CharactersWithSpaces>
  <SharedDoc>false</SharedDoc>
  <HyperlinkBase>https://www.cabinet.qld.gov.au/documents/2011/Aug/Private Railway Infrastructure/</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2011-09-28T05:37:00Z</cp:lastPrinted>
  <dcterms:created xsi:type="dcterms:W3CDTF">2017-10-24T23:05:00Z</dcterms:created>
  <dcterms:modified xsi:type="dcterms:W3CDTF">2018-03-06T01:07:00Z</dcterms:modified>
  <cp:category>Transport,Rail,Infrastructure</cp:category>
</cp:coreProperties>
</file>